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7CE" w:rsidRPr="008B1A04" w:rsidRDefault="00C207CE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bCs/>
          <w:i/>
          <w:sz w:val="32"/>
          <w:szCs w:val="20"/>
          <w:lang w:val="en-GB" w:eastAsia="ja-JP"/>
        </w:rPr>
      </w:pPr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8B1A04">
        <w:rPr>
          <w:rFonts w:ascii="Arial" w:eastAsia="SimSun" w:hAnsi="Arial" w:cs="Arial"/>
          <w:b/>
          <w:sz w:val="24"/>
          <w:szCs w:val="24"/>
          <w:lang w:val="en-GB" w:eastAsia="en-US"/>
        </w:rPr>
        <w:t>WG4 Meeting #</w:t>
      </w:r>
      <w:r w:rsidR="005D0C26">
        <w:rPr>
          <w:rFonts w:ascii="Arial" w:eastAsia="PMingLiU" w:hAnsi="Arial" w:cs="Arial"/>
          <w:b/>
          <w:sz w:val="24"/>
          <w:szCs w:val="24"/>
          <w:lang w:val="en-GB" w:eastAsia="zh-TW"/>
        </w:rPr>
        <w:t>82</w:t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en-US"/>
        </w:rPr>
        <w:tab/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ja-JP"/>
        </w:rPr>
        <w:t>R4-</w:t>
      </w:r>
      <w:r w:rsidR="00CB4F07">
        <w:rPr>
          <w:rFonts w:ascii="Arial" w:eastAsia="PMingLiU" w:hAnsi="Arial" w:cs="Arial"/>
          <w:b/>
          <w:bCs/>
          <w:sz w:val="24"/>
          <w:szCs w:val="20"/>
          <w:lang w:val="en-GB" w:eastAsia="zh-TW"/>
        </w:rPr>
        <w:t>1</w:t>
      </w:r>
      <w:r w:rsidR="00EA6756">
        <w:rPr>
          <w:rFonts w:ascii="Arial" w:eastAsia="PMingLiU" w:hAnsi="Arial" w:cs="Arial"/>
          <w:b/>
          <w:bCs/>
          <w:sz w:val="24"/>
          <w:szCs w:val="20"/>
          <w:lang w:val="en-GB" w:eastAsia="zh-TW"/>
        </w:rPr>
        <w:t>700595</w:t>
      </w:r>
    </w:p>
    <w:p w:rsidR="005D0C26" w:rsidRPr="00C701D9" w:rsidRDefault="005D0C26" w:rsidP="005D0C2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sz w:val="24"/>
          <w:szCs w:val="24"/>
          <w:lang w:val="en-GB" w:eastAsia="en-US"/>
        </w:rPr>
      </w:pPr>
      <w:r>
        <w:rPr>
          <w:rFonts w:ascii="Arial" w:eastAsia="SimSun" w:hAnsi="Arial" w:cs="Arial"/>
          <w:b/>
          <w:sz w:val="24"/>
          <w:szCs w:val="24"/>
          <w:lang w:val="en-GB" w:eastAsia="en-US"/>
        </w:rPr>
        <w:t>Athens</w:t>
      </w:r>
      <w:r w:rsidRPr="00C701D9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val="en-GB" w:eastAsia="en-US"/>
        </w:rPr>
        <w:t xml:space="preserve">Greece, </w:t>
      </w:r>
      <w:r>
        <w:rPr>
          <w:rFonts w:ascii="Arial" w:hAnsi="Arial" w:cs="Arial"/>
          <w:b/>
          <w:sz w:val="24"/>
          <w:szCs w:val="24"/>
          <w:lang w:val="en-GB" w:eastAsia="en-US"/>
        </w:rPr>
        <w:t>13 – 17 February</w:t>
      </w:r>
      <w:r w:rsidRPr="00C701D9">
        <w:rPr>
          <w:rFonts w:ascii="Arial" w:eastAsia="SimSun" w:hAnsi="Arial" w:cs="Arial"/>
          <w:b/>
          <w:sz w:val="24"/>
          <w:szCs w:val="24"/>
          <w:lang w:val="en-GB" w:eastAsia="en-US"/>
        </w:rPr>
        <w:t>, 201</w:t>
      </w:r>
      <w:r>
        <w:rPr>
          <w:rFonts w:ascii="Arial" w:eastAsia="SimSun" w:hAnsi="Arial" w:cs="Arial"/>
          <w:b/>
          <w:sz w:val="24"/>
          <w:szCs w:val="24"/>
          <w:lang w:val="en-GB" w:eastAsia="en-US"/>
        </w:rPr>
        <w:t>7</w:t>
      </w:r>
    </w:p>
    <w:p w:rsidR="00C207CE" w:rsidRPr="00410C0E" w:rsidRDefault="00C207CE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C207CE" w:rsidRPr="00053EB2" w:rsidRDefault="00C207CE" w:rsidP="00C207CE">
      <w:pPr>
        <w:tabs>
          <w:tab w:val="left" w:pos="1985"/>
        </w:tabs>
        <w:spacing w:before="240"/>
        <w:rPr>
          <w:rFonts w:ascii="Arial" w:hAnsi="Arial" w:cs="Arial"/>
          <w:b/>
          <w:sz w:val="24"/>
          <w:szCs w:val="24"/>
        </w:rPr>
      </w:pPr>
      <w:r w:rsidRPr="00053EB2">
        <w:rPr>
          <w:rFonts w:ascii="Arial" w:hAnsi="Arial" w:cs="Arial"/>
          <w:b/>
          <w:sz w:val="24"/>
          <w:szCs w:val="24"/>
        </w:rPr>
        <w:t>Agenda Item:</w:t>
      </w:r>
      <w:r w:rsidRPr="00053EB2">
        <w:rPr>
          <w:rFonts w:ascii="Arial" w:hAnsi="Arial" w:cs="Arial"/>
          <w:b/>
          <w:sz w:val="24"/>
          <w:szCs w:val="24"/>
        </w:rPr>
        <w:tab/>
      </w:r>
      <w:r w:rsidR="005D0C26">
        <w:rPr>
          <w:rFonts w:ascii="Arial" w:hAnsi="Arial" w:cs="Arial"/>
          <w:b/>
          <w:sz w:val="24"/>
          <w:szCs w:val="24"/>
        </w:rPr>
        <w:t>7.29.4.2</w:t>
      </w:r>
    </w:p>
    <w:p w:rsidR="00C207CE" w:rsidRPr="00053EB2" w:rsidRDefault="00C207CE" w:rsidP="00C207CE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053EB2">
        <w:rPr>
          <w:rFonts w:ascii="Arial" w:hAnsi="Arial" w:cs="Arial"/>
          <w:b/>
          <w:sz w:val="24"/>
          <w:szCs w:val="24"/>
        </w:rPr>
        <w:t>Intel Corporation</w:t>
      </w:r>
    </w:p>
    <w:p w:rsidR="00053EB2" w:rsidRPr="00053EB2" w:rsidRDefault="00C207CE" w:rsidP="00053EB2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CB4F07" w:rsidRPr="00CB4F07">
        <w:rPr>
          <w:rFonts w:ascii="Arial" w:hAnsi="Arial" w:cs="Arial"/>
          <w:b/>
          <w:sz w:val="24"/>
          <w:szCs w:val="24"/>
        </w:rPr>
        <w:t>Refer</w:t>
      </w:r>
      <w:r w:rsidR="005D0C26">
        <w:rPr>
          <w:rFonts w:ascii="Arial" w:hAnsi="Arial" w:cs="Arial"/>
          <w:b/>
          <w:sz w:val="24"/>
          <w:szCs w:val="24"/>
        </w:rPr>
        <w:t xml:space="preserve">ence receiver performance for </w:t>
      </w:r>
      <w:proofErr w:type="spellStart"/>
      <w:r w:rsidR="005D0C26">
        <w:rPr>
          <w:rFonts w:ascii="Arial" w:hAnsi="Arial" w:cs="Arial"/>
          <w:b/>
          <w:sz w:val="24"/>
          <w:szCs w:val="24"/>
        </w:rPr>
        <w:t>uni</w:t>
      </w:r>
      <w:proofErr w:type="spellEnd"/>
      <w:r w:rsidR="005D0C26">
        <w:rPr>
          <w:rFonts w:ascii="Arial" w:hAnsi="Arial" w:cs="Arial"/>
          <w:b/>
          <w:sz w:val="24"/>
          <w:szCs w:val="24"/>
        </w:rPr>
        <w:t>-</w:t>
      </w:r>
      <w:r w:rsidR="00CB4F07" w:rsidRPr="00CB4F07">
        <w:rPr>
          <w:rFonts w:ascii="Arial" w:hAnsi="Arial" w:cs="Arial"/>
          <w:b/>
          <w:sz w:val="24"/>
          <w:szCs w:val="24"/>
        </w:rPr>
        <w:t>directional HST SFN</w:t>
      </w:r>
    </w:p>
    <w:p w:rsidR="00C207CE" w:rsidRPr="00410C0E" w:rsidRDefault="00C207CE" w:rsidP="00C207CE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en-US"/>
        </w:rPr>
      </w:pPr>
    </w:p>
    <w:p w:rsidR="00871030" w:rsidRDefault="00207C9B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work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item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(WI) “P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erformance enhancements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high speed scenario” 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was app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roved at RAN plenary meeting #70 [1]. 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One objectiv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e of this WI is to identify downlink demodulation requirements under the identified high speed scenarios. According to the high speed Work Item Description (WID) [1], the target high speed train (HST) moving speed is at least 350km/h and at most 750km/h. When the train’s moving speed is greater than 350km/h, one candidate solution is the so-called “unidirectional” RRH SFN arrangement, where RRHs with unidirectional antenna are deployed along the railway. In the ideal case, the antenna side-lobe’s impact is assumed to be negligible for the unidirectional deployment. Therefore, in contrast to the “bidirectional” HST SFN, a legacy receiver can be used, and a normal baseline MMSE receiver is sufficient to maintain satisfactory demodulation performance in unidirectional HST SFN [2].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In RAN4#81 Meeting, </w:t>
      </w:r>
      <w:r w:rsidR="005E06E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 WF [3] suggested interested companies to provide results for unidirectional RRH study. </w:t>
      </w:r>
      <w:r w:rsidRPr="00207C9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 this contribution, we first</w:t>
      </w:r>
      <w:r w:rsidR="005E06E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Pr="00207C9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show our throughput simulation results for legacy UE under unidirectional HST SFN deployment</w:t>
      </w:r>
      <w:r w:rsidR="005E06E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and then </w:t>
      </w:r>
      <w:r w:rsidR="005E06EB" w:rsidRPr="00207C9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share our view on the</w:t>
      </w:r>
      <w:r w:rsidR="005E06E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unidirectional HST SFN</w:t>
      </w:r>
      <w:r w:rsidRPr="00207C9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207CE" w:rsidRPr="008B1A04" w:rsidRDefault="005D0C26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1" w:name="OLE_LINK15"/>
      <w:bookmarkStart w:id="2" w:name="OLE_LINK16"/>
      <w:bookmarkStart w:id="3" w:name="OLE_LINK21"/>
      <w:bookmarkStart w:id="4" w:name="OLE_LINK22"/>
      <w:bookmarkStart w:id="5" w:name="OLE_LINK23"/>
      <w:bookmarkStart w:id="6" w:name="OLE_LINK11"/>
      <w:bookmarkStart w:id="7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>Unidirectional</w:t>
      </w:r>
      <w:r w:rsidR="00F2634D"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 </w:t>
      </w:r>
      <w:r w:rsidR="00AE385E"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HST </w:t>
      </w:r>
      <w:r w:rsidR="00CF0FE8"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SFN </w:t>
      </w:r>
      <w:r w:rsidR="00F2634D">
        <w:rPr>
          <w:rFonts w:ascii="Arial" w:eastAsia="PMingLiU" w:hAnsi="Arial" w:cs="Times New Roman"/>
          <w:sz w:val="32"/>
          <w:szCs w:val="32"/>
          <w:lang w:val="en-GB" w:eastAsia="zh-TW"/>
        </w:rPr>
        <w:t>channel model and RRH scenarios</w:t>
      </w:r>
    </w:p>
    <w:bookmarkEnd w:id="1"/>
    <w:bookmarkEnd w:id="2"/>
    <w:bookmarkEnd w:id="3"/>
    <w:bookmarkEnd w:id="4"/>
    <w:bookmarkEnd w:id="5"/>
    <w:bookmarkEnd w:id="6"/>
    <w:bookmarkEnd w:id="7"/>
    <w:p w:rsidR="00CF0FE8" w:rsidRPr="008961AA" w:rsidRDefault="00CF0FE8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207C9B" w:rsidRDefault="00207C9B" w:rsidP="00207C9B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4F0B0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 [2]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a directional antenna radiation pattern is provided, which is similarly produced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as in Fig.1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:rsidR="00207C9B" w:rsidRDefault="00207C9B" w:rsidP="00207C9B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207C9B" w:rsidRDefault="00207C9B" w:rsidP="00207C9B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 wp14:anchorId="17B2481D" wp14:editId="2D854A44">
            <wp:extent cx="2688336" cy="26974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336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9B" w:rsidRDefault="00207C9B" w:rsidP="00207C9B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207C9B" w:rsidRPr="008F127E" w:rsidRDefault="00207C9B" w:rsidP="00207C9B">
      <w:pPr>
        <w:pStyle w:val="Caption"/>
        <w:jc w:val="center"/>
        <w:rPr>
          <w:rFonts w:eastAsiaTheme="minorEastAsia" w:cstheme="minorBidi"/>
          <w:b w:val="0"/>
          <w:bCs w:val="0"/>
          <w:lang w:val="en-US" w:eastAsia="zh-CN"/>
        </w:rPr>
      </w:pPr>
      <w:r>
        <w:rPr>
          <w:rFonts w:eastAsiaTheme="minorEastAsia" w:cstheme="minorBidi"/>
          <w:b w:val="0"/>
          <w:bCs w:val="0"/>
          <w:lang w:val="en-US" w:eastAsia="zh-CN"/>
        </w:rPr>
        <w:t>Fig. 1</w:t>
      </w:r>
      <w:r w:rsidRPr="008F127E">
        <w:rPr>
          <w:rFonts w:eastAsiaTheme="minorEastAsia" w:cstheme="minorBidi"/>
          <w:b w:val="0"/>
          <w:bCs w:val="0"/>
          <w:lang w:val="en-US" w:eastAsia="zh-CN"/>
        </w:rPr>
        <w:t xml:space="preserve">: Assumed antenna radiation pattern for unidirectional RRH </w:t>
      </w:r>
      <w:r>
        <w:rPr>
          <w:rFonts w:eastAsiaTheme="minorEastAsia" w:cstheme="minorBidi"/>
          <w:b w:val="0"/>
          <w:bCs w:val="0"/>
          <w:lang w:val="en-US" w:eastAsia="zh-CN"/>
        </w:rPr>
        <w:t>SFN scenario</w:t>
      </w:r>
    </w:p>
    <w:p w:rsidR="00207C9B" w:rsidRDefault="00207C9B" w:rsidP="00207C9B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207C9B" w:rsidRDefault="00207C9B" w:rsidP="00207C9B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lastRenderedPageBreak/>
        <w:t>Fig. 2 shows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 train running in the unidirectional RRH SFN from RRH2 (blue) to RRH3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(black).</w:t>
      </w:r>
    </w:p>
    <w:p w:rsidR="00207C9B" w:rsidRDefault="00207C9B" w:rsidP="00207C9B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noProof/>
          <w:kern w:val="2"/>
          <w:sz w:val="24"/>
          <w:lang w:val="en-GB"/>
        </w:rPr>
      </w:pPr>
    </w:p>
    <w:p w:rsidR="00207C9B" w:rsidRDefault="00207C9B" w:rsidP="00207C9B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noProof/>
          <w:kern w:val="2"/>
          <w:sz w:val="24"/>
          <w:lang w:val="en-GB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 wp14:anchorId="68349744" wp14:editId="449BFB1F">
            <wp:extent cx="5715000" cy="106984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069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9B" w:rsidRPr="0015356D" w:rsidRDefault="00207C9B" w:rsidP="00207C9B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</w:pPr>
      <w:r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  <w:t>Fig. 2</w:t>
      </w:r>
      <w:r w:rsidRPr="0015356D"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  <w:t xml:space="preserve"> </w:t>
      </w:r>
      <w:r w:rsidRPr="00390F6B">
        <w:rPr>
          <w:rFonts w:ascii="Times New Roman" w:hAnsi="Times New Roman"/>
          <w:sz w:val="20"/>
          <w:szCs w:val="20"/>
        </w:rPr>
        <w:t>Unidirectional RRH SFN</w:t>
      </w:r>
    </w:p>
    <w:p w:rsidR="00207C9B" w:rsidRDefault="00207C9B" w:rsidP="00207C9B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207C9B" w:rsidRDefault="00207C9B" w:rsidP="00207C9B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 3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illustrates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the simulation results for throughput performance with MCS=19, and assuming the train speed is 350km/h.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other necessary parameters are summarised in Table 1.</w:t>
      </w:r>
    </w:p>
    <w:p w:rsidR="00207C9B" w:rsidRDefault="00207C9B" w:rsidP="00207C9B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07C9B" w:rsidTr="00811FB0">
        <w:tc>
          <w:tcPr>
            <w:tcW w:w="4814" w:type="dxa"/>
          </w:tcPr>
          <w:p w:rsidR="00207C9B" w:rsidRDefault="00207C9B" w:rsidP="00811FB0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  <w:t>Parameters</w:t>
            </w:r>
          </w:p>
        </w:tc>
        <w:tc>
          <w:tcPr>
            <w:tcW w:w="4815" w:type="dxa"/>
          </w:tcPr>
          <w:p w:rsidR="00207C9B" w:rsidRDefault="00207C9B" w:rsidP="00811FB0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  <w:t>Value</w:t>
            </w:r>
          </w:p>
        </w:tc>
      </w:tr>
      <w:tr w:rsidR="00207C9B" w:rsidTr="00811FB0">
        <w:tc>
          <w:tcPr>
            <w:tcW w:w="4814" w:type="dxa"/>
          </w:tcPr>
          <w:p w:rsidR="00207C9B" w:rsidRDefault="00207C9B" w:rsidP="00811FB0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  <w:t>Ds</w:t>
            </w:r>
          </w:p>
        </w:tc>
        <w:tc>
          <w:tcPr>
            <w:tcW w:w="4815" w:type="dxa"/>
          </w:tcPr>
          <w:p w:rsidR="00207C9B" w:rsidRDefault="00207C9B" w:rsidP="00811FB0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  <w:t>1000m</w:t>
            </w:r>
          </w:p>
        </w:tc>
      </w:tr>
      <w:tr w:rsidR="00207C9B" w:rsidTr="00811FB0">
        <w:tc>
          <w:tcPr>
            <w:tcW w:w="4814" w:type="dxa"/>
          </w:tcPr>
          <w:p w:rsidR="00207C9B" w:rsidRDefault="00207C9B" w:rsidP="00811FB0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</w:pPr>
            <w:proofErr w:type="spellStart"/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  <w:t>Dmin</w:t>
            </w:r>
            <w:proofErr w:type="spellEnd"/>
          </w:p>
        </w:tc>
        <w:tc>
          <w:tcPr>
            <w:tcW w:w="4815" w:type="dxa"/>
          </w:tcPr>
          <w:p w:rsidR="00207C9B" w:rsidRDefault="00207C9B" w:rsidP="00811FB0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  <w:t>300m</w:t>
            </w:r>
          </w:p>
        </w:tc>
      </w:tr>
      <w:tr w:rsidR="00207C9B" w:rsidTr="00811FB0">
        <w:tc>
          <w:tcPr>
            <w:tcW w:w="4814" w:type="dxa"/>
          </w:tcPr>
          <w:p w:rsidR="00207C9B" w:rsidRPr="0085011F" w:rsidRDefault="00207C9B" w:rsidP="00811FB0">
            <w:pPr>
              <w:widowControl w:val="0"/>
              <w:jc w:val="center"/>
              <w:rPr>
                <w:rFonts w:ascii="Times New Roman" w:eastAsia="PMingLiU" w:hAnsi="Times New Roman" w:cs="Times New Roman"/>
                <w:i/>
                <w:kern w:val="2"/>
                <w:sz w:val="24"/>
                <w:lang w:val="en-GB" w:eastAsia="en-US"/>
              </w:rPr>
            </w:pPr>
            <w:r w:rsidRPr="0085011F">
              <w:rPr>
                <w:rFonts w:ascii="Times New Roman" w:eastAsia="PMingLiU" w:hAnsi="Times New Roman" w:cs="Times New Roman"/>
                <w:i/>
                <w:kern w:val="2"/>
                <w:sz w:val="24"/>
                <w:lang w:val="en-GB" w:eastAsia="en-US"/>
              </w:rPr>
              <w:t>v</w:t>
            </w:r>
          </w:p>
        </w:tc>
        <w:tc>
          <w:tcPr>
            <w:tcW w:w="4815" w:type="dxa"/>
          </w:tcPr>
          <w:p w:rsidR="00207C9B" w:rsidRDefault="00207C9B" w:rsidP="00811FB0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  <w:t>350km/h</w:t>
            </w:r>
          </w:p>
        </w:tc>
      </w:tr>
      <w:tr w:rsidR="00207C9B" w:rsidTr="00811FB0">
        <w:tc>
          <w:tcPr>
            <w:tcW w:w="4814" w:type="dxa"/>
          </w:tcPr>
          <w:p w:rsidR="00207C9B" w:rsidRDefault="00207C9B" w:rsidP="00811FB0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</w:pPr>
            <w:proofErr w:type="spellStart"/>
            <w:r w:rsidRPr="0085011F">
              <w:rPr>
                <w:rFonts w:ascii="Times New Roman" w:eastAsia="PMingLiU" w:hAnsi="Times New Roman" w:cs="Times New Roman"/>
                <w:i/>
                <w:kern w:val="2"/>
                <w:sz w:val="24"/>
                <w:lang w:val="en-GB" w:eastAsia="en-US"/>
              </w:rPr>
              <w:t>f</w:t>
            </w: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  <w:t>d</w:t>
            </w:r>
            <w:proofErr w:type="spellEnd"/>
          </w:p>
        </w:tc>
        <w:tc>
          <w:tcPr>
            <w:tcW w:w="4815" w:type="dxa"/>
          </w:tcPr>
          <w:p w:rsidR="00207C9B" w:rsidRDefault="00207C9B" w:rsidP="00811FB0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  <w:t>875Hz</w:t>
            </w:r>
          </w:p>
        </w:tc>
      </w:tr>
    </w:tbl>
    <w:p w:rsidR="00207C9B" w:rsidRDefault="00207C9B" w:rsidP="00207C9B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146ADE"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>Table 1. Parameters for Scenario 1</w:t>
      </w:r>
    </w:p>
    <w:p w:rsidR="00207C9B" w:rsidRDefault="00207C9B" w:rsidP="00207C9B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207C9B" w:rsidRDefault="005E06EB" w:rsidP="005E06EB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 wp14:anchorId="1EA2BE24" wp14:editId="64653A20">
            <wp:extent cx="2203704" cy="1700784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HT_Uni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3704" cy="1700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6EB" w:rsidRPr="00C11DEE" w:rsidRDefault="005E06EB" w:rsidP="005E06EB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>Fig. 3</w:t>
      </w:r>
      <w:r w:rsidRPr="00C11DEE"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>: Throughput performance of legacy UE under unidirectional HST deployment</w:t>
      </w: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 xml:space="preserve"> (MCS=19)</w:t>
      </w:r>
      <w:r w:rsidRPr="00C11DEE"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 xml:space="preserve"> </w:t>
      </w:r>
    </w:p>
    <w:p w:rsidR="00207C9B" w:rsidRDefault="00207C9B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0D7323" w:rsidRPr="000D7323" w:rsidRDefault="000D7323" w:rsidP="000D732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Observation 1</w:t>
      </w:r>
      <w:r>
        <w:rPr>
          <w:rFonts w:ascii="Times New Roman" w:hAnsi="Times New Roman"/>
          <w:kern w:val="2"/>
          <w:sz w:val="24"/>
          <w:lang w:val="en-GB"/>
        </w:rPr>
        <w:t>: for higher MCS (e.g. MCS=19 ~ 64QAM &amp; 0.47 code rate), there is about 30% throughput degradation compared with the maximum configured throughput.</w:t>
      </w:r>
    </w:p>
    <w:p w:rsidR="00207C9B" w:rsidRDefault="00207C9B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bookmarkStart w:id="8" w:name="_GoBack"/>
      <w:bookmarkEnd w:id="8"/>
    </w:p>
    <w:p w:rsidR="00207C9B" w:rsidRDefault="00EC1820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On the other hand, in [4], it shows the throughput performance as in Fig.4 below:</w:t>
      </w:r>
    </w:p>
    <w:p w:rsidR="00EC1820" w:rsidRDefault="00EC1820" w:rsidP="00EC1820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4863AA">
        <w:rPr>
          <w:noProof/>
        </w:rPr>
        <w:drawing>
          <wp:inline distT="0" distB="0" distL="0" distR="0" wp14:anchorId="39C31DB0" wp14:editId="0D56C7E0">
            <wp:extent cx="2441448" cy="1828800"/>
            <wp:effectExtent l="0" t="0" r="0" b="0"/>
            <wp:docPr id="4" name="Picture 4" descr="Z:\fga\branches\2016\RAN4_78bis_Apr2016_DL4RX_CCH_IM_HST\results\36_101_tests\HST_altern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fga\branches\2016\RAN4_78bis_Apr2016_DL4RX_CCH_IM_HST\results\36_101_tests\HST_alternat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820" w:rsidRPr="00C11DEE" w:rsidRDefault="00EC1820" w:rsidP="00EC1820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>Fig.</w:t>
      </w: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 xml:space="preserve"> 4</w:t>
      </w:r>
      <w:r w:rsidRPr="00C11DEE"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>: Throughput performance of legacy UE under unidirectional HST deployment</w:t>
      </w: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 xml:space="preserve"> (</w:t>
      </w:r>
      <w:r w:rsidR="000D7323"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>QPSK, 1/3 code rate</w:t>
      </w: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>)</w:t>
      </w:r>
      <w:r w:rsidRPr="00C11DEE"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 xml:space="preserve"> </w:t>
      </w:r>
    </w:p>
    <w:p w:rsidR="00207C9B" w:rsidRDefault="00207C9B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0D7323" w:rsidRDefault="000D7323" w:rsidP="000D732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b/>
          <w:kern w:val="2"/>
          <w:sz w:val="24"/>
          <w:lang w:val="en-GB"/>
        </w:rPr>
        <w:t>Observation 2</w:t>
      </w:r>
      <w:r>
        <w:rPr>
          <w:rFonts w:ascii="Times New Roman" w:hAnsi="Times New Roman"/>
          <w:kern w:val="2"/>
          <w:sz w:val="24"/>
          <w:lang w:val="en-GB"/>
        </w:rPr>
        <w:t xml:space="preserve">: for </w:t>
      </w:r>
      <w:r>
        <w:rPr>
          <w:rFonts w:ascii="Times New Roman" w:hAnsi="Times New Roman"/>
          <w:kern w:val="2"/>
          <w:sz w:val="24"/>
          <w:lang w:val="en-GB"/>
        </w:rPr>
        <w:t xml:space="preserve">lower </w:t>
      </w:r>
      <w:r>
        <w:rPr>
          <w:rFonts w:ascii="Times New Roman" w:hAnsi="Times New Roman"/>
          <w:kern w:val="2"/>
          <w:sz w:val="24"/>
          <w:lang w:val="en-GB"/>
        </w:rPr>
        <w:t>MCS (</w:t>
      </w:r>
      <w:r>
        <w:rPr>
          <w:rFonts w:ascii="Times New Roman" w:hAnsi="Times New Roman"/>
          <w:kern w:val="2"/>
          <w:sz w:val="24"/>
          <w:lang w:val="en-GB"/>
        </w:rPr>
        <w:t xml:space="preserve">e.g. </w:t>
      </w:r>
      <w:r>
        <w:rPr>
          <w:rFonts w:ascii="Times New Roman" w:hAnsi="Times New Roman"/>
          <w:kern w:val="2"/>
          <w:sz w:val="24"/>
          <w:lang w:val="en-GB"/>
        </w:rPr>
        <w:t>Q</w:t>
      </w:r>
      <w:r>
        <w:rPr>
          <w:rFonts w:ascii="Times New Roman" w:hAnsi="Times New Roman"/>
          <w:kern w:val="2"/>
          <w:sz w:val="24"/>
          <w:lang w:val="en-GB"/>
        </w:rPr>
        <w:t>PSK</w:t>
      </w:r>
      <w:r>
        <w:rPr>
          <w:rFonts w:ascii="Times New Roman" w:hAnsi="Times New Roman"/>
          <w:kern w:val="2"/>
          <w:sz w:val="24"/>
          <w:lang w:val="en-GB"/>
        </w:rPr>
        <w:t xml:space="preserve"> &amp; </w:t>
      </w:r>
      <w:r>
        <w:rPr>
          <w:rFonts w:ascii="Times New Roman" w:hAnsi="Times New Roman"/>
          <w:kern w:val="2"/>
          <w:sz w:val="24"/>
          <w:lang w:val="en-GB"/>
        </w:rPr>
        <w:t>1/3</w:t>
      </w:r>
      <w:r>
        <w:rPr>
          <w:rFonts w:ascii="Times New Roman" w:hAnsi="Times New Roman"/>
          <w:kern w:val="2"/>
          <w:sz w:val="24"/>
          <w:lang w:val="en-GB"/>
        </w:rPr>
        <w:t xml:space="preserve"> code rate), </w:t>
      </w:r>
      <w:r>
        <w:rPr>
          <w:rFonts w:ascii="Times New Roman" w:hAnsi="Times New Roman"/>
          <w:kern w:val="2"/>
          <w:sz w:val="24"/>
          <w:lang w:val="en-GB"/>
        </w:rPr>
        <w:t>legacy UE can perform well in the high speed unidirectional RRH SFN.</w:t>
      </w:r>
    </w:p>
    <w:p w:rsidR="000D7323" w:rsidRDefault="000D7323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207C9B" w:rsidRDefault="000D7323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lastRenderedPageBreak/>
        <w:t xml:space="preserve">Previously, as a way for performance alignment of bidirectional RRH SFN, we first down selected the MCS level, as well as other parameters, such as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Dmin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and Ds. Therefore,</w:t>
      </w:r>
    </w:p>
    <w:p w:rsidR="000D7323" w:rsidRDefault="000D7323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0D7323" w:rsidRDefault="000D7323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0D7323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To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down select MCS level, as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well as parameters, such as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Dmin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and Ds,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an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 max Doppler shift (corresponding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to the train speed) for test assumptions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and performance alignment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:rsidR="005D0C26" w:rsidRPr="00B75900" w:rsidRDefault="005D0C26" w:rsidP="005D0C26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 xml:space="preserve">Conclusion </w:t>
      </w:r>
    </w:p>
    <w:p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0D7323" w:rsidRDefault="000D7323" w:rsidP="000D7323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207C9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 this contribution, we first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Pr="00207C9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show our throughput simulation results for legacy UE under unidirectional HST SFN deployment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and then </w:t>
      </w:r>
      <w:r w:rsidRPr="00207C9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share our view on the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unidirectional HST SFN</w:t>
      </w:r>
      <w:r w:rsidRPr="00207C9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:rsidR="000D7323" w:rsidRDefault="000D7323" w:rsidP="000D7323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0D7323" w:rsidRPr="000D7323" w:rsidRDefault="000D7323" w:rsidP="000D732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Observation 1</w:t>
      </w:r>
      <w:r>
        <w:rPr>
          <w:rFonts w:ascii="Times New Roman" w:hAnsi="Times New Roman"/>
          <w:kern w:val="2"/>
          <w:sz w:val="24"/>
          <w:lang w:val="en-GB"/>
        </w:rPr>
        <w:t xml:space="preserve">: for </w:t>
      </w:r>
      <w:r>
        <w:rPr>
          <w:rFonts w:ascii="Times New Roman" w:hAnsi="Times New Roman"/>
          <w:kern w:val="2"/>
          <w:sz w:val="24"/>
          <w:lang w:val="en-GB"/>
        </w:rPr>
        <w:t xml:space="preserve">higher </w:t>
      </w:r>
      <w:r>
        <w:rPr>
          <w:rFonts w:ascii="Times New Roman" w:hAnsi="Times New Roman"/>
          <w:kern w:val="2"/>
          <w:sz w:val="24"/>
          <w:lang w:val="en-GB"/>
        </w:rPr>
        <w:t>MCS (</w:t>
      </w:r>
      <w:r>
        <w:rPr>
          <w:rFonts w:ascii="Times New Roman" w:hAnsi="Times New Roman"/>
          <w:kern w:val="2"/>
          <w:sz w:val="24"/>
          <w:lang w:val="en-GB"/>
        </w:rPr>
        <w:t xml:space="preserve">e.g. MCS=19 ~ </w:t>
      </w:r>
      <w:r>
        <w:rPr>
          <w:rFonts w:ascii="Times New Roman" w:hAnsi="Times New Roman"/>
          <w:kern w:val="2"/>
          <w:sz w:val="24"/>
          <w:lang w:val="en-GB"/>
        </w:rPr>
        <w:t>64QAM &amp; 0.47 code rate), there is about 30% throughput degradation compared with the maximum configured throughput.</w:t>
      </w:r>
    </w:p>
    <w:p w:rsidR="000D7323" w:rsidRDefault="000D7323" w:rsidP="000D7323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0D7323" w:rsidRDefault="000D7323" w:rsidP="000D732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b/>
          <w:kern w:val="2"/>
          <w:sz w:val="24"/>
          <w:lang w:val="en-GB"/>
        </w:rPr>
        <w:t>Observation 2</w:t>
      </w:r>
      <w:r>
        <w:rPr>
          <w:rFonts w:ascii="Times New Roman" w:hAnsi="Times New Roman"/>
          <w:kern w:val="2"/>
          <w:sz w:val="24"/>
          <w:lang w:val="en-GB"/>
        </w:rPr>
        <w:t>: for lower MCS (e.g. QPSK &amp; 1/3 code rate), legacy UE can perform well in the high speed unidirectional RRH SFN.</w:t>
      </w:r>
    </w:p>
    <w:p w:rsidR="000D7323" w:rsidRDefault="000D7323" w:rsidP="000D7323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0D7323" w:rsidRDefault="000D7323" w:rsidP="000D7323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0D7323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To down select MCS level, as well as parameters, such as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Dmin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and Ds, and max Doppler shift (corresponding to the train speed) for test assumptions and performance alignment.</w:t>
      </w:r>
    </w:p>
    <w:p w:rsidR="00C207CE" w:rsidRPr="002075F3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:rsidR="00207C9B" w:rsidRDefault="00207C9B" w:rsidP="00207C9B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[1] RP-152263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New WI proposal: Performance enhancements for high speed scenario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NTT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DoCoMo Inc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., Huawei, </w:t>
      </w:r>
      <w:proofErr w:type="spellStart"/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Dec. 2015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:rsidR="00207C9B" w:rsidRDefault="00207C9B" w:rsidP="00207C9B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2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R4-162469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E00D2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Discussion on the specification of performance requirements for unidirectional deployment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Ericsson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April 2016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:rsidR="00EC1820" w:rsidRDefault="005E06EB" w:rsidP="00EC1820">
      <w:pPr>
        <w:widowControl w:val="0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3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 w:rsidRPr="005E06E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R4-1610968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5E06E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WF on HST unidirectional test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</w:t>
      </w:r>
      <w:r w:rsidRPr="005E06E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Ericsson, V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odafone, Telecom Italia, NTT DoCoM</w:t>
      </w:r>
      <w:r w:rsidRPr="005E06E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o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Nov.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2016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:rsidR="00637ABE" w:rsidRPr="00B75900" w:rsidRDefault="00EC1820" w:rsidP="00EC1820">
      <w:pPr>
        <w:widowControl w:val="0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4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 w:rsidRPr="00EC182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R4-169901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EC182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Discussion and simulation results for HST unidirectional performance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Ericsson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Nov. 2016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sectPr w:rsidR="00637ABE" w:rsidRPr="00B75900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B14E47"/>
    <w:multiLevelType w:val="hybridMultilevel"/>
    <w:tmpl w:val="98988C1C"/>
    <w:lvl w:ilvl="0" w:tplc="A8740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E9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E8B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06C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E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E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A7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A8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C345B40"/>
    <w:multiLevelType w:val="hybridMultilevel"/>
    <w:tmpl w:val="FD961218"/>
    <w:lvl w:ilvl="0" w:tplc="81C6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8D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4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0A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8D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EC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E0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0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21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A54B2D"/>
    <w:multiLevelType w:val="hybridMultilevel"/>
    <w:tmpl w:val="A738A4D8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8748AD"/>
    <w:multiLevelType w:val="hybridMultilevel"/>
    <w:tmpl w:val="6CB61C02"/>
    <w:lvl w:ilvl="0" w:tplc="EE3640C6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FB0DE5"/>
    <w:multiLevelType w:val="hybridMultilevel"/>
    <w:tmpl w:val="768A013A"/>
    <w:lvl w:ilvl="0" w:tplc="822C3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8D3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87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541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867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9CB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6AA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0C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83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doNotDisplayPageBoundaries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26255"/>
    <w:rsid w:val="0002705B"/>
    <w:rsid w:val="000513A5"/>
    <w:rsid w:val="00053EB2"/>
    <w:rsid w:val="00070E92"/>
    <w:rsid w:val="00090083"/>
    <w:rsid w:val="00097531"/>
    <w:rsid w:val="000A262B"/>
    <w:rsid w:val="000C13DC"/>
    <w:rsid w:val="000C1E28"/>
    <w:rsid w:val="000C55C6"/>
    <w:rsid w:val="000D0A8A"/>
    <w:rsid w:val="000D5B35"/>
    <w:rsid w:val="000D7323"/>
    <w:rsid w:val="000E1A13"/>
    <w:rsid w:val="000E2192"/>
    <w:rsid w:val="000F6336"/>
    <w:rsid w:val="00104ECC"/>
    <w:rsid w:val="00107797"/>
    <w:rsid w:val="001145E9"/>
    <w:rsid w:val="00117008"/>
    <w:rsid w:val="0015226D"/>
    <w:rsid w:val="0015356D"/>
    <w:rsid w:val="00154AF6"/>
    <w:rsid w:val="00172120"/>
    <w:rsid w:val="001878CF"/>
    <w:rsid w:val="0019366C"/>
    <w:rsid w:val="00196860"/>
    <w:rsid w:val="001A5B01"/>
    <w:rsid w:val="001B4E6F"/>
    <w:rsid w:val="001B5297"/>
    <w:rsid w:val="001C4A09"/>
    <w:rsid w:val="001E3D65"/>
    <w:rsid w:val="001E5E77"/>
    <w:rsid w:val="001F6941"/>
    <w:rsid w:val="00207C9B"/>
    <w:rsid w:val="00216025"/>
    <w:rsid w:val="00225668"/>
    <w:rsid w:val="0022650D"/>
    <w:rsid w:val="002332E3"/>
    <w:rsid w:val="00236E00"/>
    <w:rsid w:val="0024703F"/>
    <w:rsid w:val="002503B4"/>
    <w:rsid w:val="002568B7"/>
    <w:rsid w:val="00267C9C"/>
    <w:rsid w:val="002E47D0"/>
    <w:rsid w:val="002F63DB"/>
    <w:rsid w:val="00304EAF"/>
    <w:rsid w:val="00347F8D"/>
    <w:rsid w:val="00350D55"/>
    <w:rsid w:val="00393FC5"/>
    <w:rsid w:val="003A7A57"/>
    <w:rsid w:val="003B2198"/>
    <w:rsid w:val="00402304"/>
    <w:rsid w:val="004309ED"/>
    <w:rsid w:val="00430FC2"/>
    <w:rsid w:val="004459C2"/>
    <w:rsid w:val="004643E9"/>
    <w:rsid w:val="004777BD"/>
    <w:rsid w:val="004956F1"/>
    <w:rsid w:val="004C5838"/>
    <w:rsid w:val="004D0760"/>
    <w:rsid w:val="004D7882"/>
    <w:rsid w:val="004E0D4A"/>
    <w:rsid w:val="004F558D"/>
    <w:rsid w:val="005074C2"/>
    <w:rsid w:val="00536D41"/>
    <w:rsid w:val="00543882"/>
    <w:rsid w:val="00543B67"/>
    <w:rsid w:val="0054601D"/>
    <w:rsid w:val="00547F60"/>
    <w:rsid w:val="00593B8B"/>
    <w:rsid w:val="005C1885"/>
    <w:rsid w:val="005D0C26"/>
    <w:rsid w:val="005E06EB"/>
    <w:rsid w:val="005F167C"/>
    <w:rsid w:val="0060411D"/>
    <w:rsid w:val="00607E76"/>
    <w:rsid w:val="006134FB"/>
    <w:rsid w:val="006202C4"/>
    <w:rsid w:val="00636C61"/>
    <w:rsid w:val="00637ABE"/>
    <w:rsid w:val="00664F36"/>
    <w:rsid w:val="00691207"/>
    <w:rsid w:val="006926BC"/>
    <w:rsid w:val="00693362"/>
    <w:rsid w:val="00695D70"/>
    <w:rsid w:val="006C226F"/>
    <w:rsid w:val="006D2B70"/>
    <w:rsid w:val="007017DE"/>
    <w:rsid w:val="007064BB"/>
    <w:rsid w:val="00706613"/>
    <w:rsid w:val="0072345E"/>
    <w:rsid w:val="00750472"/>
    <w:rsid w:val="007620C0"/>
    <w:rsid w:val="007B1425"/>
    <w:rsid w:val="007E0138"/>
    <w:rsid w:val="007E22E1"/>
    <w:rsid w:val="008156BF"/>
    <w:rsid w:val="00817C29"/>
    <w:rsid w:val="0084231A"/>
    <w:rsid w:val="0084307C"/>
    <w:rsid w:val="0085011F"/>
    <w:rsid w:val="0085301D"/>
    <w:rsid w:val="00871030"/>
    <w:rsid w:val="00877CA4"/>
    <w:rsid w:val="008961AA"/>
    <w:rsid w:val="008B1A01"/>
    <w:rsid w:val="008B685F"/>
    <w:rsid w:val="00935CA6"/>
    <w:rsid w:val="00955D0D"/>
    <w:rsid w:val="00965700"/>
    <w:rsid w:val="009724EA"/>
    <w:rsid w:val="009C6C7C"/>
    <w:rsid w:val="009D3C1C"/>
    <w:rsid w:val="009D793E"/>
    <w:rsid w:val="009E28F8"/>
    <w:rsid w:val="00A05735"/>
    <w:rsid w:val="00A1214E"/>
    <w:rsid w:val="00A2735B"/>
    <w:rsid w:val="00A3518A"/>
    <w:rsid w:val="00A3766E"/>
    <w:rsid w:val="00A42375"/>
    <w:rsid w:val="00A46466"/>
    <w:rsid w:val="00A653EF"/>
    <w:rsid w:val="00AA1349"/>
    <w:rsid w:val="00AB4A25"/>
    <w:rsid w:val="00AC3714"/>
    <w:rsid w:val="00AC3D10"/>
    <w:rsid w:val="00AC6C2A"/>
    <w:rsid w:val="00AE385E"/>
    <w:rsid w:val="00AE7C9F"/>
    <w:rsid w:val="00AF3C28"/>
    <w:rsid w:val="00B03279"/>
    <w:rsid w:val="00B058A1"/>
    <w:rsid w:val="00B225C1"/>
    <w:rsid w:val="00B264DC"/>
    <w:rsid w:val="00B75900"/>
    <w:rsid w:val="00B82EFA"/>
    <w:rsid w:val="00B85487"/>
    <w:rsid w:val="00BA3B53"/>
    <w:rsid w:val="00BA4642"/>
    <w:rsid w:val="00BC43BB"/>
    <w:rsid w:val="00BE696F"/>
    <w:rsid w:val="00BF1BCA"/>
    <w:rsid w:val="00C02D95"/>
    <w:rsid w:val="00C04AD3"/>
    <w:rsid w:val="00C0596F"/>
    <w:rsid w:val="00C0598C"/>
    <w:rsid w:val="00C207CE"/>
    <w:rsid w:val="00C208DC"/>
    <w:rsid w:val="00C30126"/>
    <w:rsid w:val="00C36715"/>
    <w:rsid w:val="00C40648"/>
    <w:rsid w:val="00C60E3D"/>
    <w:rsid w:val="00C62DD3"/>
    <w:rsid w:val="00C63406"/>
    <w:rsid w:val="00C73155"/>
    <w:rsid w:val="00C8458C"/>
    <w:rsid w:val="00C95F40"/>
    <w:rsid w:val="00CA3D52"/>
    <w:rsid w:val="00CA7E6E"/>
    <w:rsid w:val="00CB142A"/>
    <w:rsid w:val="00CB4F07"/>
    <w:rsid w:val="00CD0B26"/>
    <w:rsid w:val="00CD416C"/>
    <w:rsid w:val="00CE7305"/>
    <w:rsid w:val="00CF0FE8"/>
    <w:rsid w:val="00CF5B19"/>
    <w:rsid w:val="00D3033A"/>
    <w:rsid w:val="00D36CD3"/>
    <w:rsid w:val="00D5054D"/>
    <w:rsid w:val="00D56FB5"/>
    <w:rsid w:val="00D7580E"/>
    <w:rsid w:val="00D76FE2"/>
    <w:rsid w:val="00D811B9"/>
    <w:rsid w:val="00D872E0"/>
    <w:rsid w:val="00D96965"/>
    <w:rsid w:val="00DB18B1"/>
    <w:rsid w:val="00DB2F26"/>
    <w:rsid w:val="00DE51CD"/>
    <w:rsid w:val="00DE68F8"/>
    <w:rsid w:val="00E17C5A"/>
    <w:rsid w:val="00E33DF7"/>
    <w:rsid w:val="00E34605"/>
    <w:rsid w:val="00E456E0"/>
    <w:rsid w:val="00E459EB"/>
    <w:rsid w:val="00E520E2"/>
    <w:rsid w:val="00E71504"/>
    <w:rsid w:val="00E91054"/>
    <w:rsid w:val="00EA6756"/>
    <w:rsid w:val="00EB0684"/>
    <w:rsid w:val="00EC0337"/>
    <w:rsid w:val="00EC1820"/>
    <w:rsid w:val="00ED36D9"/>
    <w:rsid w:val="00ED3B9A"/>
    <w:rsid w:val="00EE02A1"/>
    <w:rsid w:val="00F010D4"/>
    <w:rsid w:val="00F04086"/>
    <w:rsid w:val="00F1008F"/>
    <w:rsid w:val="00F104DB"/>
    <w:rsid w:val="00F2634D"/>
    <w:rsid w:val="00F322FD"/>
    <w:rsid w:val="00F41E24"/>
    <w:rsid w:val="00F50656"/>
    <w:rsid w:val="00F728E6"/>
    <w:rsid w:val="00F81D18"/>
    <w:rsid w:val="00F82222"/>
    <w:rsid w:val="00F973D0"/>
    <w:rsid w:val="00FD1C3D"/>
    <w:rsid w:val="00FD4282"/>
    <w:rsid w:val="00FD7C27"/>
    <w:rsid w:val="00FE0633"/>
    <w:rsid w:val="00FE19EE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paragraph" w:styleId="Heading2">
    <w:name w:val="heading 2"/>
    <w:basedOn w:val="Normal"/>
    <w:link w:val="Heading2Char"/>
    <w:uiPriority w:val="9"/>
    <w:qFormat/>
    <w:rsid w:val="00445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72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459C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459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35B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ar"/>
    <w:rsid w:val="00A2735B"/>
    <w:rPr>
      <w:b/>
    </w:rPr>
  </w:style>
  <w:style w:type="paragraph" w:customStyle="1" w:styleId="TAC">
    <w:name w:val="TAC"/>
    <w:basedOn w:val="TAL"/>
    <w:link w:val="TACChar"/>
    <w:rsid w:val="00A2735B"/>
    <w:pPr>
      <w:jc w:val="center"/>
    </w:pPr>
  </w:style>
  <w:style w:type="paragraph" w:customStyle="1" w:styleId="TAL">
    <w:name w:val="TAL"/>
    <w:basedOn w:val="Normal"/>
    <w:link w:val="TALCar"/>
    <w:rsid w:val="00A2735B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A2735B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LCar">
    <w:name w:val="TAL Car"/>
    <w:basedOn w:val="DefaultParagraphFont"/>
    <w:link w:val="TAL"/>
    <w:rsid w:val="00A2735B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HChar">
    <w:name w:val="TH Char"/>
    <w:basedOn w:val="DefaultParagraphFont"/>
    <w:link w:val="TH"/>
    <w:rsid w:val="00A2735B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rsid w:val="00A2735B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A2735B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37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">
    <w:name w:val="首标题"/>
    <w:rsid w:val="0084231A"/>
    <w:rPr>
      <w:rFonts w:ascii="Arial" w:eastAsia="SimSun" w:hAnsi="Arial"/>
      <w:sz w:val="24"/>
      <w:lang w:val="en-US" w:eastAsia="zh-CN" w:bidi="ar-SA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07C9B"/>
    <w:pPr>
      <w:spacing w:after="18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207C9B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58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63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311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EE54B-E066-48B9-B9E7-F927D024F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Tian, Shuang</cp:lastModifiedBy>
  <cp:revision>178</cp:revision>
  <dcterms:created xsi:type="dcterms:W3CDTF">2016-02-08T14:26:00Z</dcterms:created>
  <dcterms:modified xsi:type="dcterms:W3CDTF">2017-02-03T07:50:00Z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a6e438c5-d444-42af-9527-a0250c51dcc5</vt:lpwstr>
  </property>
  <property fmtid="{D5CDD505-2E9C-101B-9397-08002B2CF9AE}" pid="3" name="CTP_TimeStamp">
    <vt:lpwstr>2016-09-30 21:10:32Z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